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D373A">
      <w:pPr>
        <w:widowControl/>
        <w:tabs>
          <w:tab w:val="left" w:pos="4662"/>
        </w:tabs>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ab/>
      </w:r>
    </w:p>
    <w:p w14:paraId="08DFB6F0">
      <w:pPr>
        <w:widowControl/>
        <w:spacing w:line="360" w:lineRule="auto"/>
        <w:jc w:val="center"/>
        <w:rPr>
          <w:rFonts w:asciiTheme="minorHAnsi" w:hAnsiTheme="minorHAnsi" w:eastAsiaTheme="majorEastAsia" w:cstheme="minorHAnsi"/>
          <w:b/>
          <w:kern w:val="0"/>
          <w:sz w:val="32"/>
          <w:szCs w:val="21"/>
        </w:rPr>
      </w:pPr>
    </w:p>
    <w:p w14:paraId="18FAE5DC">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1F04A08F">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人工智能自动化技术与物联网机器人</w:t>
      </w:r>
    </w:p>
    <w:p w14:paraId="2C13E8CF">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14044382">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Modules for Robotics, Automation and Internet of Things</w:t>
      </w:r>
    </w:p>
    <w:p w14:paraId="780B9FB2">
      <w:pPr>
        <w:widowControl/>
        <w:spacing w:line="360" w:lineRule="auto"/>
        <w:jc w:val="center"/>
        <w:rPr>
          <w:rFonts w:cs="Calibri" w:asciiTheme="minorHAnsi" w:hAnsiTheme="minorHAnsi"/>
          <w:b/>
          <w:kern w:val="0"/>
          <w:szCs w:val="21"/>
        </w:rPr>
      </w:pPr>
    </w:p>
    <w:p w14:paraId="229A2ADE">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14:paraId="7A37557C">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微处理器和微控制器的进步使人们能够在工业领域和社会生活中构建大规模的自动化系统，而机器人也可在其中发挥重要作用。特别是，微控制器的低成本使得智能传感器和智能执行器的出现成为可能，这反过来又推动了所谓的 "物联网"的广泛应用。</w:t>
      </w:r>
    </w:p>
    <w:p w14:paraId="676DF430">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本项目的目标是让学生掌握机器人技术的专业知识、自动化系统和联网智能设备的基础知识，这些知识可随时部署到工业和社会中。项目核心优势：</w:t>
      </w:r>
    </w:p>
    <w:p w14:paraId="3F25BF69">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了解工业领域中的机器人和自动化系统； </w:t>
      </w:r>
    </w:p>
    <w:p w14:paraId="6E19059F">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了解网络传感器、执行器和控制器；</w:t>
      </w:r>
    </w:p>
    <w:p w14:paraId="6DC2B9EB">
      <w:pPr>
        <w:widowControl/>
        <w:numPr>
          <w:ilvl w:val="0"/>
          <w:numId w:val="1"/>
        </w:numPr>
        <w:spacing w:line="360" w:lineRule="auto"/>
        <w:ind w:left="420" w:left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了解工业中的机器人技术和自动化系统；</w:t>
      </w:r>
    </w:p>
    <w:p w14:paraId="2A29FAE0">
      <w:pPr>
        <w:widowControl/>
        <w:spacing w:line="360" w:lineRule="auto"/>
        <w:rPr>
          <w:rFonts w:asciiTheme="minorHAnsi" w:hAnsiTheme="minorHAnsi" w:eastAsiaTheme="majorEastAsia" w:cstheme="minorHAnsi"/>
          <w:kern w:val="0"/>
          <w:szCs w:val="21"/>
        </w:rPr>
      </w:pPr>
    </w:p>
    <w:p w14:paraId="27BA499F">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为了让中国学生体验世界一流名校的学术氛围，南洋理工大学主办部门举办本次访学项目，由南洋理工大学在职教授授课，项目将开设「机器人运动系统与机械臂运动规划」、「工业自动化过程与自动化过程控制」、「人工智能与物联网技术」、「传感器与执行器」等相关主题，涵盖新加坡南洋理工大学特色专业课、小组讨论、结业项目展示等内容，最大程度的让学员在短时间体验南洋理工大学的学术特色，并做好成为机器人、自动化系统和物联网的用户和设计者的准备。 </w:t>
      </w:r>
    </w:p>
    <w:p w14:paraId="499020D5">
      <w:pPr>
        <w:pStyle w:val="27"/>
        <w:spacing w:before="168" w:line="176" w:lineRule="auto"/>
        <w:rPr>
          <w:rFonts w:asciiTheme="minorHAnsi" w:hAnsiTheme="minorHAnsi" w:eastAsiaTheme="majorEastAsia" w:cstheme="minorHAnsi"/>
          <w:kern w:val="0"/>
          <w:szCs w:val="21"/>
          <w:lang w:eastAsia="zh-CN"/>
        </w:rPr>
      </w:pPr>
    </w:p>
    <w:p w14:paraId="4B8F8729">
      <w:pPr>
        <w:pStyle w:val="27"/>
        <w:spacing w:before="168" w:line="176" w:lineRule="auto"/>
        <w:rPr>
          <w:rFonts w:asciiTheme="minorHAnsi" w:hAnsiTheme="minorHAnsi" w:eastAsiaTheme="majorEastAsia" w:cstheme="minorHAnsi"/>
          <w:kern w:val="0"/>
          <w:szCs w:val="21"/>
          <w:lang w:eastAsia="zh-CN"/>
        </w:rPr>
      </w:pPr>
    </w:p>
    <w:p w14:paraId="62A86E50">
      <w:pPr>
        <w:pStyle w:val="27"/>
        <w:spacing w:before="168" w:line="176" w:lineRule="auto"/>
        <w:rPr>
          <w:rFonts w:asciiTheme="minorHAnsi" w:hAnsiTheme="minorHAnsi" w:eastAsiaTheme="majorEastAsia" w:cstheme="minorHAnsi"/>
          <w:kern w:val="0"/>
          <w:szCs w:val="21"/>
          <w:lang w:eastAsia="zh-CN"/>
        </w:rPr>
      </w:pPr>
    </w:p>
    <w:p w14:paraId="0D39F880">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6E4D07AF">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通过物联网技术以及机器人系统两个层面，全方位提升学生对于数据科学及人工智能技术的理解与把握；</w:t>
      </w:r>
    </w:p>
    <w:p w14:paraId="652CDCCC">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p>
    <w:p w14:paraId="09CF5465">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学生可获得新加坡南洋理工大学正式的课程成绩单与参课证明，深度体验新加坡的社会与文化</w:t>
      </w:r>
      <w:bookmarkEnd w:id="0"/>
      <w:r>
        <w:rPr>
          <w:rFonts w:hint="eastAsia" w:asciiTheme="minorHAnsi" w:hAnsiTheme="minorHAnsi" w:eastAsiaTheme="majorEastAsia" w:cstheme="minorHAnsi"/>
          <w:kern w:val="0"/>
          <w:szCs w:val="21"/>
        </w:rPr>
        <w:t>。</w:t>
      </w:r>
    </w:p>
    <w:p w14:paraId="4973637A">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19F3C6BF">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48295336">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32814364">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221CFB1C">
      <w:pPr>
        <w:pStyle w:val="21"/>
        <w:widowControl/>
        <w:numPr>
          <w:ilvl w:val="0"/>
          <w:numId w:val="2"/>
        </w:numPr>
        <w:spacing w:line="360" w:lineRule="auto"/>
        <w:ind w:firstLineChars="0"/>
        <w:jc w:val="left"/>
        <w:rPr>
          <w:rFonts w:cs="Arial" w:asciiTheme="minorHAnsi" w:hAnsiTheme="minorHAnsi"/>
          <w:color w:val="333333"/>
          <w:kern w:val="0"/>
          <w:szCs w:val="21"/>
        </w:rPr>
      </w:pPr>
      <w:r>
        <w:rPr>
          <w:rFonts w:hint="eastAsia" w:asciiTheme="minorHAnsi" w:hAnsiTheme="minorHAnsi" w:eastAsiaTheme="majorEastAsia" w:cstheme="minorHAnsi"/>
          <w:kern w:val="0"/>
          <w:szCs w:val="21"/>
        </w:rPr>
        <w:t>2024 年 QS 世界大学排名全球第 26 名。南</w:t>
      </w:r>
      <w:r>
        <w:rPr>
          <w:rFonts w:asciiTheme="minorHAnsi" w:hAnsiTheme="minorHAnsi" w:eastAsiaTheme="majorEastAsia" w:cstheme="minorHAnsi"/>
          <w:kern w:val="0"/>
          <w:szCs w:val="21"/>
        </w:rPr>
        <w:t>大被“QS世界大学排名”评为世界顶尖大学之一，并多年蝉联全球年轻大学榜首。 </w:t>
      </w:r>
    </w:p>
    <w:p w14:paraId="05AB0F50">
      <w:pPr>
        <w:widowControl/>
        <w:spacing w:line="360" w:lineRule="auto"/>
        <w:ind w:left="420" w:firstLine="420" w:firstLineChars="200"/>
        <w:jc w:val="left"/>
        <w:rPr>
          <w:rFonts w:cs="Arial" w:asciiTheme="minorHAnsi" w:hAnsiTheme="minorHAnsi"/>
          <w:color w:val="333333"/>
          <w:kern w:val="0"/>
          <w:szCs w:val="21"/>
        </w:rPr>
      </w:pPr>
    </w:p>
    <w:p w14:paraId="025A7E29">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14:paraId="5323ED4B">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51379EE5">
      <w:pPr>
        <w:widowControl/>
        <w:spacing w:line="360" w:lineRule="auto"/>
        <w:ind w:firstLine="420"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lang w:val="en-US" w:eastAsia="zh-CN"/>
        </w:rPr>
        <w:t>2月2日-2月9日</w:t>
      </w:r>
    </w:p>
    <w:p w14:paraId="5E0B9CCD">
      <w:pPr>
        <w:spacing w:line="360" w:lineRule="auto"/>
        <w:rPr>
          <w:rFonts w:cs="Calibri" w:asciiTheme="minorHAnsi" w:hAnsiTheme="minorHAnsi"/>
          <w:szCs w:val="21"/>
        </w:rPr>
      </w:pPr>
    </w:p>
    <w:p w14:paraId="5FA34E00">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课程安排</w:t>
      </w:r>
      <w:r>
        <w:rPr>
          <w:rFonts w:cs="Calibri" w:asciiTheme="minorHAnsi" w:hAnsiTheme="minorHAnsi"/>
          <w:szCs w:val="21"/>
        </w:rPr>
        <w:t>】</w:t>
      </w:r>
    </w:p>
    <w:p w14:paraId="1F9AD725">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项目为期8天，</w:t>
      </w:r>
      <w:r>
        <w:rPr>
          <w:rFonts w:hint="eastAsia" w:asciiTheme="minorHAnsi" w:hAnsiTheme="minorHAnsi" w:eastAsiaTheme="majorEastAsia" w:cstheme="minorHAnsi"/>
          <w:szCs w:val="21"/>
        </w:rPr>
        <w:t>项目共计30课时，包含20课时的授课时间及10课时的人文参访/企业</w:t>
      </w:r>
    </w:p>
    <w:p w14:paraId="676E23F5">
      <w:pPr>
        <w:spacing w:line="360" w:lineRule="auto"/>
        <w:rPr>
          <w:rFonts w:asciiTheme="minorHAnsi" w:hAnsiTheme="minorHAnsi" w:eastAsiaTheme="majorEastAsia" w:cstheme="minorHAnsi"/>
          <w:color w:val="0000FF"/>
          <w:szCs w:val="21"/>
        </w:rPr>
      </w:pPr>
      <w:r>
        <w:rPr>
          <w:rFonts w:hint="eastAsia" w:asciiTheme="minorHAnsi" w:hAnsiTheme="minorHAnsi" w:eastAsiaTheme="majorEastAsia" w:cstheme="minorHAnsi"/>
          <w:szCs w:val="21"/>
        </w:rPr>
        <w:t>调研/实验操作等环节。 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14:paraId="757CF047">
      <w:pPr>
        <w:spacing w:line="360" w:lineRule="auto"/>
        <w:ind w:left="420" w:leftChars="200"/>
        <w:rPr>
          <w:rFonts w:asciiTheme="minorHAnsi" w:hAnsiTheme="minorHAnsi" w:eastAsiaTheme="majorEastAsia" w:cstheme="minorHAnsi"/>
          <w:szCs w:val="21"/>
        </w:rPr>
      </w:pPr>
    </w:p>
    <w:p w14:paraId="4B981F4B">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14:paraId="51BDB92F">
      <w:pPr>
        <w:widowControl/>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Modules for Robotics, Automation and Internet of Things</w:t>
      </w:r>
    </w:p>
    <w:p w14:paraId="2E33B36A">
      <w:pPr>
        <w:widowControl/>
        <w:jc w:val="left"/>
        <w:rPr>
          <w:rFonts w:asciiTheme="minorHAnsi" w:hAnsiTheme="minorHAnsi" w:eastAsiaTheme="majorEastAsia" w:cstheme="minorHAnsi"/>
          <w:szCs w:val="21"/>
        </w:rPr>
      </w:pPr>
    </w:p>
    <w:p w14:paraId="48566D2D">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14:paraId="694F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3" w:type="dxa"/>
            <w:shd w:val="clear" w:color="auto" w:fill="BEBEBE" w:themeFill="background1" w:themeFillShade="BF"/>
          </w:tcPr>
          <w:p w14:paraId="75BF719C">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133" w:type="dxa"/>
            <w:shd w:val="clear" w:color="auto" w:fill="BEBEBE" w:themeFill="background1" w:themeFillShade="BF"/>
          </w:tcPr>
          <w:p w14:paraId="728A0C74">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014B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3" w:type="dxa"/>
          </w:tcPr>
          <w:p w14:paraId="6A4223A1">
            <w:pPr>
              <w:spacing w:before="1" w:line="220" w:lineRule="auto"/>
              <w:rPr>
                <w:rFonts w:ascii="宋体" w:hAnsi="宋体" w:cs="宋体"/>
                <w:spacing w:val="-2"/>
                <w:szCs w:val="21"/>
              </w:rPr>
            </w:pPr>
          </w:p>
          <w:p w14:paraId="67410AE6">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2月2日</w:t>
            </w:r>
          </w:p>
        </w:tc>
        <w:tc>
          <w:tcPr>
            <w:tcW w:w="6133" w:type="dxa"/>
          </w:tcPr>
          <w:p w14:paraId="2053EAEF">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启程出发</w:t>
            </w:r>
          </w:p>
          <w:p w14:paraId="774D0C0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tc>
      </w:tr>
      <w:tr w14:paraId="6CE19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trPr>
        <w:tc>
          <w:tcPr>
            <w:tcW w:w="2033" w:type="dxa"/>
          </w:tcPr>
          <w:p w14:paraId="67407805">
            <w:pPr>
              <w:spacing w:before="1" w:line="220" w:lineRule="auto"/>
              <w:ind w:firstLine="412" w:firstLineChars="200"/>
              <w:rPr>
                <w:rFonts w:ascii="宋体" w:hAnsi="宋体" w:cs="宋体"/>
                <w:spacing w:val="-2"/>
                <w:szCs w:val="21"/>
              </w:rPr>
            </w:pPr>
          </w:p>
          <w:p w14:paraId="3F99D932">
            <w:pPr>
              <w:spacing w:before="1" w:line="220" w:lineRule="auto"/>
              <w:ind w:firstLine="412" w:firstLineChars="200"/>
              <w:rPr>
                <w:rFonts w:ascii="宋体" w:hAnsi="宋体" w:cs="宋体"/>
                <w:spacing w:val="-2"/>
                <w:szCs w:val="21"/>
              </w:rPr>
            </w:pPr>
          </w:p>
          <w:p w14:paraId="4D4A5DF9">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2月3日</w:t>
            </w:r>
          </w:p>
        </w:tc>
        <w:tc>
          <w:tcPr>
            <w:tcW w:w="6133" w:type="dxa"/>
          </w:tcPr>
          <w:p w14:paraId="0D59CAF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Motion Systems in Robotics </w:t>
            </w:r>
          </w:p>
          <w:p w14:paraId="70BF6373">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Motion Planning in Robotics </w:t>
            </w:r>
          </w:p>
          <w:p w14:paraId="7E4F4FCD">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机器人运动系统</w:t>
            </w:r>
          </w:p>
          <w:p w14:paraId="0269B455">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机械臂运动规划</w:t>
            </w:r>
          </w:p>
        </w:tc>
      </w:tr>
      <w:tr w14:paraId="2374C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33" w:type="dxa"/>
          </w:tcPr>
          <w:p w14:paraId="233607C8">
            <w:pPr>
              <w:spacing w:before="1" w:line="220" w:lineRule="auto"/>
              <w:rPr>
                <w:rFonts w:ascii="宋体" w:hAnsi="宋体" w:cs="宋体"/>
                <w:spacing w:val="-2"/>
                <w:szCs w:val="21"/>
              </w:rPr>
            </w:pPr>
          </w:p>
          <w:p w14:paraId="3E43FA45">
            <w:pPr>
              <w:spacing w:before="1" w:line="220" w:lineRule="auto"/>
              <w:rPr>
                <w:rFonts w:ascii="宋体" w:hAnsi="宋体" w:cs="宋体"/>
                <w:spacing w:val="-2"/>
                <w:szCs w:val="21"/>
              </w:rPr>
            </w:pPr>
          </w:p>
          <w:p w14:paraId="1B1C9C02">
            <w:pPr>
              <w:spacing w:before="1" w:line="220" w:lineRule="auto"/>
              <w:ind w:firstLine="412" w:firstLineChars="200"/>
              <w:rPr>
                <w:rFonts w:ascii="宋体" w:hAnsi="宋体" w:cs="宋体"/>
                <w:spacing w:val="-2"/>
                <w:szCs w:val="21"/>
              </w:rPr>
            </w:pPr>
          </w:p>
          <w:p w14:paraId="270688B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2月4日</w:t>
            </w:r>
          </w:p>
        </w:tc>
        <w:tc>
          <w:tcPr>
            <w:tcW w:w="6133" w:type="dxa"/>
          </w:tcPr>
          <w:p w14:paraId="700F6FDC">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Processes in Industrial Automation </w:t>
            </w:r>
          </w:p>
          <w:p w14:paraId="7561C9A1">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Control in Industrial Automation</w:t>
            </w:r>
          </w:p>
          <w:p w14:paraId="669E2165">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工业自动化过程</w:t>
            </w:r>
          </w:p>
          <w:p w14:paraId="0E332146">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自动化过程控制</w:t>
            </w:r>
          </w:p>
          <w:p w14:paraId="703596CE">
            <w:pPr>
              <w:pStyle w:val="9"/>
              <w:widowControl w:val="0"/>
              <w:spacing w:before="168" w:beforeAutospacing="0" w:after="0" w:afterAutospacing="0"/>
              <w:jc w:val="both"/>
              <w:rPr>
                <w:spacing w:val="-1"/>
                <w:kern w:val="2"/>
                <w:sz w:val="21"/>
                <w:szCs w:val="21"/>
                <w:u w:val="single"/>
              </w:rPr>
            </w:pPr>
            <w:r>
              <w:rPr>
                <w:rFonts w:hint="eastAsia"/>
                <w:spacing w:val="-1"/>
                <w:kern w:val="2"/>
                <w:sz w:val="21"/>
                <w:szCs w:val="21"/>
                <w:u w:val="single"/>
                <w:lang w:bidi="ar"/>
              </w:rPr>
              <w:t>新加坡建屋发展局参访（Housing Development Board</w:t>
            </w:r>
            <w:r>
              <w:rPr>
                <w:rFonts w:ascii="微软雅黑" w:hAnsi="微软雅黑" w:eastAsia="微软雅黑" w:cs="微软雅黑"/>
                <w:color w:val="191B1F"/>
                <w:kern w:val="2"/>
                <w:sz w:val="27"/>
                <w:szCs w:val="27"/>
                <w:shd w:val="clear" w:color="auto" w:fill="FFFFFF"/>
                <w:lang w:bidi="ar"/>
              </w:rPr>
              <w:t xml:space="preserve"> </w:t>
            </w:r>
            <w:r>
              <w:rPr>
                <w:rFonts w:hint="eastAsia"/>
                <w:spacing w:val="-1"/>
                <w:kern w:val="2"/>
                <w:sz w:val="21"/>
                <w:szCs w:val="21"/>
                <w:u w:val="single"/>
                <w:lang w:bidi="ar"/>
              </w:rPr>
              <w:t>）</w:t>
            </w:r>
          </w:p>
          <w:p w14:paraId="3C986B54">
            <w:pPr>
              <w:rPr>
                <w:rFonts w:ascii="宋体" w:hAnsi="宋体" w:cs="宋体"/>
                <w:spacing w:val="-1"/>
                <w:szCs w:val="21"/>
              </w:rPr>
            </w:pPr>
            <w:r>
              <w:rPr>
                <w:rFonts w:hint="eastAsia" w:ascii="宋体" w:hAnsi="宋体" w:cs="宋体"/>
                <w:spacing w:val="-1"/>
                <w:szCs w:val="21"/>
                <w:lang w:bidi="ar"/>
              </w:rPr>
              <w:t>学习新加坡政府是如何在国土面积较小的情况下成功采用了西方卫星镇的建设理念，并完成城乡规划</w:t>
            </w:r>
          </w:p>
        </w:tc>
      </w:tr>
      <w:tr w14:paraId="2B26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2033" w:type="dxa"/>
          </w:tcPr>
          <w:p w14:paraId="7477650E">
            <w:pPr>
              <w:spacing w:before="1" w:line="220" w:lineRule="auto"/>
              <w:rPr>
                <w:rFonts w:ascii="宋体" w:hAnsi="宋体" w:cs="宋体"/>
                <w:spacing w:val="-2"/>
                <w:szCs w:val="21"/>
              </w:rPr>
            </w:pPr>
          </w:p>
          <w:p w14:paraId="233AB18B">
            <w:pPr>
              <w:spacing w:before="1" w:line="220" w:lineRule="auto"/>
              <w:rPr>
                <w:rFonts w:ascii="宋体" w:hAnsi="宋体" w:cs="宋体"/>
                <w:spacing w:val="-2"/>
                <w:szCs w:val="21"/>
              </w:rPr>
            </w:pPr>
          </w:p>
          <w:p w14:paraId="2C28771F">
            <w:pPr>
              <w:spacing w:before="1" w:line="220" w:lineRule="auto"/>
              <w:ind w:firstLine="412" w:firstLineChars="200"/>
              <w:rPr>
                <w:rFonts w:ascii="宋体" w:hAnsi="宋体" w:cs="宋体"/>
                <w:spacing w:val="-2"/>
                <w:szCs w:val="21"/>
              </w:rPr>
            </w:pPr>
          </w:p>
          <w:p w14:paraId="721AF173">
            <w:pPr>
              <w:spacing w:before="1" w:line="220" w:lineRule="auto"/>
              <w:ind w:firstLine="412" w:firstLineChars="200"/>
              <w:rPr>
                <w:rFonts w:ascii="宋体" w:hAnsi="宋体" w:cs="宋体"/>
                <w:spacing w:val="-2"/>
                <w:szCs w:val="21"/>
              </w:rPr>
            </w:pPr>
          </w:p>
          <w:p w14:paraId="78505C86">
            <w:pPr>
              <w:spacing w:before="1" w:line="220" w:lineRule="auto"/>
              <w:ind w:firstLine="412" w:firstLineChars="200"/>
              <w:rPr>
                <w:rFonts w:ascii="宋体" w:hAnsi="宋体" w:cs="宋体"/>
                <w:spacing w:val="-2"/>
                <w:szCs w:val="21"/>
              </w:rPr>
            </w:pPr>
          </w:p>
          <w:p w14:paraId="1B18644A">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2月5日</w:t>
            </w:r>
          </w:p>
        </w:tc>
        <w:tc>
          <w:tcPr>
            <w:tcW w:w="6133" w:type="dxa"/>
          </w:tcPr>
          <w:p w14:paraId="2C47943F">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Serial Communications </w:t>
            </w:r>
          </w:p>
          <w:p w14:paraId="3B213545">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Network Interface to Serial Communications</w:t>
            </w:r>
          </w:p>
          <w:p w14:paraId="524A5A84">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 xml:space="preserve">串行通信 </w:t>
            </w:r>
          </w:p>
          <w:p w14:paraId="48B89E05">
            <w:pPr>
              <w:pStyle w:val="27"/>
              <w:spacing w:before="168" w:line="176" w:lineRule="auto"/>
              <w:rPr>
                <w:rFonts w:ascii="宋体" w:hAnsi="宋体" w:eastAsia="宋体" w:cs="宋体"/>
                <w:snapToGrid w:val="0"/>
                <w:color w:val="000000"/>
                <w:kern w:val="0"/>
                <w:sz w:val="21"/>
                <w:szCs w:val="21"/>
                <w:lang w:eastAsia="zh-CN"/>
              </w:rPr>
            </w:pPr>
            <w:r>
              <w:rPr>
                <w:rFonts w:hint="eastAsia" w:ascii="宋体" w:hAnsi="宋体" w:eastAsia="宋体" w:cs="宋体"/>
                <w:snapToGrid w:val="0"/>
                <w:color w:val="000000"/>
                <w:kern w:val="0"/>
                <w:sz w:val="21"/>
                <w:szCs w:val="21"/>
                <w:lang w:eastAsia="zh-CN"/>
              </w:rPr>
              <w:t>串行通信网络接口</w:t>
            </w:r>
          </w:p>
          <w:p w14:paraId="09E8D305">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Sensors in Internet of Things </w:t>
            </w:r>
          </w:p>
          <w:p w14:paraId="212CA91D">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Network Interface to Sensors </w:t>
            </w:r>
          </w:p>
          <w:p w14:paraId="6C4F5718">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物联网发展的基石 -  传感器</w:t>
            </w:r>
          </w:p>
          <w:p w14:paraId="02D01858">
            <w:pPr>
              <w:pStyle w:val="27"/>
              <w:spacing w:before="168" w:line="176" w:lineRule="auto"/>
              <w:rPr>
                <w:rFonts w:ascii="宋体" w:hAnsi="宋体" w:eastAsia="宋体" w:cs="宋体"/>
                <w:snapToGrid w:val="0"/>
                <w:color w:val="000000"/>
                <w:kern w:val="0"/>
                <w:sz w:val="21"/>
                <w:szCs w:val="21"/>
                <w:lang w:eastAsia="zh-CN"/>
              </w:rPr>
            </w:pPr>
            <w:r>
              <w:rPr>
                <w:rFonts w:ascii="宋体" w:hAnsi="宋体" w:eastAsia="宋体" w:cs="宋体"/>
                <w:sz w:val="21"/>
                <w:szCs w:val="21"/>
                <w:lang w:eastAsia="zh-CN"/>
              </w:rPr>
              <w:t>传感器网络接口</w:t>
            </w:r>
          </w:p>
        </w:tc>
      </w:tr>
      <w:tr w14:paraId="40BD3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8" w:hRule="atLeast"/>
        </w:trPr>
        <w:tc>
          <w:tcPr>
            <w:tcW w:w="2033" w:type="dxa"/>
          </w:tcPr>
          <w:p w14:paraId="4BEDCC52">
            <w:pPr>
              <w:spacing w:before="1" w:line="220" w:lineRule="auto"/>
              <w:ind w:firstLine="412" w:firstLineChars="200"/>
              <w:rPr>
                <w:rFonts w:ascii="宋体" w:hAnsi="宋体" w:cs="宋体"/>
                <w:spacing w:val="-2"/>
                <w:szCs w:val="21"/>
              </w:rPr>
            </w:pPr>
          </w:p>
          <w:p w14:paraId="582E748A">
            <w:pPr>
              <w:spacing w:before="1" w:line="220" w:lineRule="auto"/>
              <w:ind w:firstLine="412" w:firstLineChars="200"/>
              <w:rPr>
                <w:rFonts w:ascii="宋体" w:hAnsi="宋体" w:cs="宋体"/>
                <w:spacing w:val="-2"/>
                <w:szCs w:val="21"/>
              </w:rPr>
            </w:pPr>
          </w:p>
          <w:p w14:paraId="69732209">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2月6日</w:t>
            </w:r>
          </w:p>
        </w:tc>
        <w:tc>
          <w:tcPr>
            <w:tcW w:w="6133" w:type="dxa"/>
          </w:tcPr>
          <w:p w14:paraId="3CD50A88">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Actuators in Internet of Things </w:t>
            </w:r>
          </w:p>
          <w:p w14:paraId="21DE44DC">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Network Interface to Actuators </w:t>
            </w:r>
          </w:p>
          <w:p w14:paraId="1F697742">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 xml:space="preserve">物联网中的执行器 </w:t>
            </w:r>
          </w:p>
          <w:p w14:paraId="387E5023">
            <w:pPr>
              <w:pStyle w:val="27"/>
              <w:spacing w:before="168" w:line="176" w:lineRule="auto"/>
              <w:rPr>
                <w:rFonts w:ascii="宋体" w:hAnsi="宋体" w:eastAsia="宋体" w:cs="宋体"/>
                <w:sz w:val="21"/>
                <w:szCs w:val="21"/>
                <w:lang w:eastAsia="zh-CN"/>
              </w:rPr>
            </w:pPr>
            <w:r>
              <w:rPr>
                <w:rFonts w:hint="eastAsia" w:ascii="宋体" w:hAnsi="宋体" w:eastAsia="宋体" w:cs="宋体"/>
                <w:sz w:val="21"/>
                <w:szCs w:val="21"/>
                <w:lang w:eastAsia="zh-CN"/>
              </w:rPr>
              <w:t>致动器网络接口</w:t>
            </w:r>
          </w:p>
        </w:tc>
      </w:tr>
      <w:tr w14:paraId="2D21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1" w:hRule="atLeast"/>
        </w:trPr>
        <w:tc>
          <w:tcPr>
            <w:tcW w:w="2033" w:type="dxa"/>
          </w:tcPr>
          <w:p w14:paraId="42923C3F">
            <w:pPr>
              <w:spacing w:before="1" w:line="220" w:lineRule="auto"/>
              <w:ind w:firstLine="412" w:firstLineChars="200"/>
              <w:rPr>
                <w:rFonts w:ascii="宋体" w:hAnsi="宋体" w:cs="宋体"/>
                <w:spacing w:val="-2"/>
                <w:szCs w:val="21"/>
              </w:rPr>
            </w:pPr>
          </w:p>
          <w:p w14:paraId="2B0FF004">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2月7日</w:t>
            </w:r>
          </w:p>
        </w:tc>
        <w:tc>
          <w:tcPr>
            <w:tcW w:w="6133" w:type="dxa"/>
          </w:tcPr>
          <w:p w14:paraId="4EE0A05C">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访学汇报与结业典礼</w:t>
            </w:r>
          </w:p>
          <w:p w14:paraId="0A88FE03">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 xml:space="preserve">小组项目展示 </w:t>
            </w:r>
          </w:p>
        </w:tc>
      </w:tr>
      <w:tr w14:paraId="7140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1" w:hRule="atLeast"/>
        </w:trPr>
        <w:tc>
          <w:tcPr>
            <w:tcW w:w="2033" w:type="dxa"/>
          </w:tcPr>
          <w:p w14:paraId="7E08E0C4">
            <w:pPr>
              <w:spacing w:before="1" w:line="220" w:lineRule="auto"/>
              <w:ind w:firstLine="412" w:firstLineChars="200"/>
              <w:rPr>
                <w:rFonts w:ascii="宋体" w:hAnsi="宋体" w:cs="宋体"/>
                <w:spacing w:val="-2"/>
                <w:szCs w:val="21"/>
              </w:rPr>
            </w:pPr>
          </w:p>
          <w:p w14:paraId="3AA6DC28">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2月8日</w:t>
            </w:r>
          </w:p>
        </w:tc>
        <w:tc>
          <w:tcPr>
            <w:tcW w:w="6133" w:type="dxa"/>
          </w:tcPr>
          <w:p w14:paraId="4ED76625">
            <w:pPr>
              <w:pStyle w:val="27"/>
              <w:spacing w:before="171" w:line="174" w:lineRule="auto"/>
              <w:jc w:val="left"/>
              <w:rPr>
                <w:rFonts w:ascii="宋体" w:hAnsi="宋体" w:eastAsia="宋体" w:cs="宋体"/>
                <w:spacing w:val="-1"/>
                <w:sz w:val="21"/>
                <w:szCs w:val="21"/>
                <w:lang w:eastAsia="zh-CN"/>
              </w:rPr>
            </w:pPr>
            <w:r>
              <w:rPr>
                <w:rFonts w:ascii="宋体" w:hAnsi="宋体" w:eastAsia="宋体" w:cs="宋体"/>
                <w:spacing w:val="-1"/>
                <w:sz w:val="21"/>
                <w:szCs w:val="21"/>
                <w:lang w:eastAsia="zh-CN"/>
              </w:rPr>
              <w:t>上午:牛车水-小印度-鱼尾狮公园-甘傍格南-哈芝巷</w:t>
            </w:r>
          </w:p>
          <w:p w14:paraId="184AB46D">
            <w:pPr>
              <w:pStyle w:val="27"/>
              <w:spacing w:before="171" w:line="174" w:lineRule="auto"/>
              <w:jc w:val="left"/>
              <w:rPr>
                <w:rFonts w:ascii="宋体" w:hAnsi="宋体" w:eastAsia="宋体" w:cs="宋体"/>
                <w:spacing w:val="-2"/>
                <w:sz w:val="21"/>
                <w:szCs w:val="21"/>
                <w:lang w:eastAsia="zh-CN"/>
              </w:rPr>
            </w:pPr>
            <w:r>
              <w:rPr>
                <w:rFonts w:ascii="宋体" w:hAnsi="宋体" w:eastAsia="宋体" w:cs="宋体"/>
                <w:spacing w:val="-1"/>
                <w:sz w:val="21"/>
                <w:szCs w:val="21"/>
                <w:lang w:eastAsia="zh-CN"/>
              </w:rPr>
              <w:t>下午:参访世界文化遗产/新加坡植物园</w:t>
            </w:r>
          </w:p>
        </w:tc>
      </w:tr>
      <w:tr w14:paraId="570C2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1" w:hRule="atLeast"/>
        </w:trPr>
        <w:tc>
          <w:tcPr>
            <w:tcW w:w="2033" w:type="dxa"/>
          </w:tcPr>
          <w:p w14:paraId="43BE0D68">
            <w:pPr>
              <w:spacing w:before="1" w:line="220" w:lineRule="auto"/>
              <w:ind w:firstLine="412" w:firstLineChars="200"/>
              <w:rPr>
                <w:rFonts w:ascii="宋体" w:hAnsi="宋体" w:cs="宋体"/>
                <w:spacing w:val="-2"/>
                <w:szCs w:val="21"/>
              </w:rPr>
            </w:pPr>
          </w:p>
          <w:p w14:paraId="532ED213">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2月9日</w:t>
            </w:r>
          </w:p>
        </w:tc>
        <w:tc>
          <w:tcPr>
            <w:tcW w:w="6133" w:type="dxa"/>
          </w:tcPr>
          <w:p w14:paraId="7682AFDE">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100A2371">
            <w:pPr>
              <w:pStyle w:val="27"/>
              <w:spacing w:before="171" w:line="174" w:lineRule="auto"/>
              <w:jc w:val="left"/>
              <w:rPr>
                <w:rFonts w:ascii="宋体" w:hAnsi="宋体" w:eastAsia="宋体" w:cs="宋体"/>
                <w:spacing w:val="-2"/>
                <w:sz w:val="21"/>
                <w:szCs w:val="21"/>
                <w:lang w:eastAsia="zh-CN"/>
              </w:rPr>
            </w:pPr>
            <w:r>
              <w:rPr>
                <w:rFonts w:hint="eastAsia" w:ascii="宋体" w:hAnsi="宋体" w:eastAsia="宋体" w:cs="宋体"/>
                <w:spacing w:val="-2"/>
                <w:sz w:val="21"/>
                <w:szCs w:val="21"/>
              </w:rPr>
              <w:t>到达国内 </w:t>
            </w:r>
          </w:p>
        </w:tc>
      </w:tr>
    </w:tbl>
    <w:p w14:paraId="0EADA83B">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p>
    <w:p w14:paraId="7822A492">
      <w:pPr>
        <w:spacing w:line="360" w:lineRule="auto"/>
        <w:rPr>
          <w:rFonts w:cs="Calibri" w:asciiTheme="minorHAnsi" w:hAnsiTheme="minorHAnsi"/>
          <w:szCs w:val="21"/>
        </w:rPr>
      </w:pPr>
    </w:p>
    <w:bookmarkEnd w:id="1"/>
    <w:p w14:paraId="439104FC">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23F628DF">
      <w:pPr>
        <w:spacing w:line="360" w:lineRule="auto"/>
        <w:ind w:firstLine="430"/>
        <w:rPr>
          <w:rFonts w:cs="Calibri" w:asciiTheme="minorHAnsi" w:hAnsiTheme="minorHAnsi"/>
          <w:szCs w:val="21"/>
        </w:rPr>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46A1AC65">
      <w:pPr>
        <w:widowControl/>
        <w:jc w:val="left"/>
        <w:rPr>
          <w:rFonts w:asciiTheme="minorHAnsi" w:hAnsiTheme="minorHAnsi" w:eastAsiaTheme="majorEastAsia" w:cstheme="minorHAnsi"/>
          <w:szCs w:val="21"/>
        </w:rPr>
      </w:pPr>
      <w:r>
        <w:rPr>
          <w:rFonts w:ascii="宋体" w:hAnsi="宋体" w:cs="宋体"/>
          <w:kern w:val="0"/>
          <w:sz w:val="24"/>
          <w:lang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cs="宋体"/>
          <w:kern w:val="0"/>
          <w:sz w:val="24"/>
          <w:lang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cs="宋体"/>
          <w:kern w:val="0"/>
          <w:sz w:val="24"/>
          <w:lang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14:paraId="55F1D8C8">
      <w:pPr>
        <w:widowControl/>
        <w:spacing w:line="360" w:lineRule="auto"/>
        <w:jc w:val="left"/>
        <w:rPr>
          <w:rFonts w:asciiTheme="minorHAnsi" w:hAnsiTheme="minorHAnsi" w:eastAsiaTheme="majorEastAsia" w:cstheme="minorHAnsi"/>
          <w:szCs w:val="21"/>
        </w:rPr>
      </w:pPr>
    </w:p>
    <w:p w14:paraId="6C8342A5">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14:paraId="7F23007D">
      <w:pPr>
        <w:widowControl/>
        <w:spacing w:line="360" w:lineRule="auto"/>
        <w:jc w:val="left"/>
        <w:rPr>
          <w:rFonts w:asciiTheme="minorHAnsi" w:hAnsiTheme="minorHAnsi" w:eastAsiaTheme="majorEastAsia" w:cstheme="minorHAnsi"/>
          <w:szCs w:val="21"/>
        </w:rPr>
      </w:pPr>
    </w:p>
    <w:p w14:paraId="216BE6DA">
      <w:pPr>
        <w:widowControl/>
        <w:spacing w:line="360" w:lineRule="auto"/>
        <w:jc w:val="left"/>
        <w:rPr>
          <w:rFonts w:asciiTheme="minorHAnsi" w:hAnsiTheme="minorHAnsi" w:eastAsiaTheme="majorEastAsia" w:cstheme="minorHAnsi"/>
          <w:szCs w:val="21"/>
        </w:rPr>
      </w:pPr>
    </w:p>
    <w:p w14:paraId="4F5F7381">
      <w:pPr>
        <w:widowControl/>
        <w:spacing w:line="360" w:lineRule="auto"/>
        <w:jc w:val="left"/>
        <w:rPr>
          <w:rFonts w:asciiTheme="minorHAnsi" w:hAnsiTheme="minorHAnsi" w:eastAsiaTheme="majorEastAsia" w:cstheme="minorHAnsi"/>
          <w:szCs w:val="21"/>
        </w:rPr>
      </w:pPr>
    </w:p>
    <w:p w14:paraId="6831668A">
      <w:pPr>
        <w:widowControl/>
        <w:spacing w:line="360" w:lineRule="auto"/>
        <w:jc w:val="left"/>
        <w:rPr>
          <w:rFonts w:asciiTheme="minorHAnsi" w:hAnsiTheme="minorHAnsi" w:eastAsiaTheme="majorEastAsia" w:cstheme="minorHAnsi"/>
          <w:szCs w:val="21"/>
        </w:rPr>
      </w:pPr>
    </w:p>
    <w:p w14:paraId="1F0D275A">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5518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trPr>
        <w:tc>
          <w:tcPr>
            <w:tcW w:w="1474" w:type="dxa"/>
          </w:tcPr>
          <w:p w14:paraId="20388758">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687C677E">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10ED5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4" w:type="dxa"/>
          </w:tcPr>
          <w:p w14:paraId="21BF8B6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2AA849C6">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学费、杂费、酒店住宿（不含早）、接机、大巴上学送生、参访费、医疗与意外险、项目服务费</w:t>
            </w:r>
          </w:p>
        </w:tc>
      </w:tr>
      <w:tr w14:paraId="2A2A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4" w:type="dxa"/>
          </w:tcPr>
          <w:p w14:paraId="4D9BE408">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14ABB3B9">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国际机票、餐费、大巴放学接生，送机、个人生活费</w:t>
            </w:r>
          </w:p>
        </w:tc>
      </w:tr>
      <w:bookmarkEnd w:id="2"/>
    </w:tbl>
    <w:p w14:paraId="3BCC98FF">
      <w:pPr>
        <w:widowControl/>
        <w:spacing w:line="360" w:lineRule="auto"/>
        <w:jc w:val="left"/>
        <w:rPr>
          <w:rFonts w:asciiTheme="minorHAnsi" w:hAnsiTheme="minorHAnsi" w:eastAsiaTheme="majorEastAsia" w:cstheme="minorHAnsi"/>
          <w:szCs w:val="21"/>
        </w:rPr>
      </w:pPr>
    </w:p>
    <w:p w14:paraId="3A6E9636">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7EEC0CAF">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1FF257B4">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lang w:val="en-US" w:eastAsia="zh-CN"/>
        </w:rPr>
        <w:t>和所在学院报名</w:t>
      </w:r>
    </w:p>
    <w:p w14:paraId="12D0AFE1">
      <w:pPr>
        <w:spacing w:line="360" w:lineRule="auto"/>
        <w:rPr>
          <w:rFonts w:asciiTheme="minorHAnsi" w:hAnsiTheme="minorHAnsi" w:eastAsiaTheme="majorEastAsia" w:cstheme="minorHAnsi"/>
          <w:szCs w:val="21"/>
          <w:u w:val="single"/>
        </w:rPr>
      </w:pPr>
      <w:bookmarkStart w:id="3" w:name="_GoBack"/>
      <w:bookmarkEnd w:id="3"/>
      <w:r>
        <w:rPr>
          <w:rFonts w:hint="eastAsia" w:asciiTheme="minorHAnsi" w:hAnsiTheme="minorHAnsi" w:eastAsiaTheme="majorEastAsia" w:cstheme="minorHAnsi"/>
          <w:szCs w:val="21"/>
          <w:u w:val="single"/>
        </w:rPr>
        <w:t xml:space="preserve">                                                                                      </w:t>
      </w:r>
    </w:p>
    <w:p w14:paraId="67AEA4BF">
      <w:pPr>
        <w:widowControl/>
        <w:jc w:val="left"/>
        <w:rPr>
          <w:rFonts w:cs="宋体" w:asciiTheme="minorHAnsi" w:hAnsiTheme="minorHAnsi"/>
          <w:kern w:val="0"/>
          <w:sz w:val="20"/>
          <w:szCs w:val="21"/>
        </w:rPr>
      </w:pPr>
    </w:p>
    <w:p w14:paraId="672B152A">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61D9FAD4">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14:textFill>
            <w14:solidFill>
              <w14:schemeClr w14:val="accent1"/>
            </w14:solidFill>
          </w14:textFill>
        </w:rPr>
        <w:t>www.usiea.org </w:t>
      </w:r>
    </w:p>
    <w:p w14:paraId="10076171">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visit_ntu@yeah.net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14:paraId="0D6DA89E">
      <w:pPr>
        <w:pStyle w:val="9"/>
        <w:spacing w:before="0" w:beforeAutospacing="0" w:after="0" w:afterAutospacing="0" w:line="360" w:lineRule="auto"/>
        <w:rPr>
          <w:rFonts w:ascii="Calibri" w:hAnsi="Calibri" w:cs="Calibri"/>
          <w:sz w:val="22"/>
          <w:szCs w:val="22"/>
        </w:rPr>
      </w:pPr>
    </w:p>
    <w:p w14:paraId="687EB320">
      <w:pPr>
        <w:widowControl/>
        <w:spacing w:line="360" w:lineRule="auto"/>
        <w:jc w:val="left"/>
        <w:rPr>
          <w:rFonts w:cs="宋体" w:asciiTheme="minorHAnsi" w:hAnsiTheme="minorHAnsi"/>
          <w:kern w:val="0"/>
          <w:sz w:val="20"/>
          <w:szCs w:val="21"/>
          <w:highlight w:val="green"/>
        </w:rPr>
      </w:pPr>
    </w:p>
    <w:p w14:paraId="3A9DE1B5">
      <w:pPr>
        <w:widowControl/>
        <w:spacing w:line="360" w:lineRule="auto"/>
        <w:jc w:val="left"/>
        <w:rPr>
          <w:rFonts w:cs="宋体" w:asciiTheme="minorHAnsi" w:hAnsiTheme="minorHAnsi"/>
          <w:kern w:val="0"/>
          <w:sz w:val="20"/>
          <w:szCs w:val="21"/>
          <w:highlight w:val="gree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7CE58">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9541B"/>
    <w:multiLevelType w:val="singleLevel"/>
    <w:tmpl w:val="0E59541B"/>
    <w:lvl w:ilvl="0" w:tentative="0">
      <w:start w:val="1"/>
      <w:numFmt w:val="bullet"/>
      <w:lvlText w:val=""/>
      <w:lvlJc w:val="left"/>
      <w:pPr>
        <w:ind w:left="420" w:hanging="420"/>
      </w:pPr>
      <w:rPr>
        <w:rFonts w:hint="default" w:ascii="Wingdings" w:hAnsi="Wingdings"/>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A5E"/>
    <w:rsid w:val="00131D30"/>
    <w:rsid w:val="00133CC6"/>
    <w:rsid w:val="00134011"/>
    <w:rsid w:val="00135172"/>
    <w:rsid w:val="00135F93"/>
    <w:rsid w:val="00137744"/>
    <w:rsid w:val="00140B49"/>
    <w:rsid w:val="00143294"/>
    <w:rsid w:val="00144F0E"/>
    <w:rsid w:val="0014567C"/>
    <w:rsid w:val="00145721"/>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0B05"/>
    <w:rsid w:val="002852EE"/>
    <w:rsid w:val="0029175A"/>
    <w:rsid w:val="0029179F"/>
    <w:rsid w:val="00292326"/>
    <w:rsid w:val="00295361"/>
    <w:rsid w:val="00296348"/>
    <w:rsid w:val="00297E1A"/>
    <w:rsid w:val="002A05E1"/>
    <w:rsid w:val="002A402F"/>
    <w:rsid w:val="002A4498"/>
    <w:rsid w:val="002A4E59"/>
    <w:rsid w:val="002A6DA2"/>
    <w:rsid w:val="002A6EBF"/>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2BBD"/>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212F"/>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A4712"/>
    <w:rsid w:val="00EB0151"/>
    <w:rsid w:val="00EB2B49"/>
    <w:rsid w:val="00EB354F"/>
    <w:rsid w:val="00EB3C98"/>
    <w:rsid w:val="00EB5B3E"/>
    <w:rsid w:val="00EB7BFA"/>
    <w:rsid w:val="00EB7ED2"/>
    <w:rsid w:val="00EC3867"/>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37934"/>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1122"/>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922AC4"/>
    <w:rsid w:val="0CD410C8"/>
    <w:rsid w:val="0EA675EC"/>
    <w:rsid w:val="10D27A7E"/>
    <w:rsid w:val="1633660B"/>
    <w:rsid w:val="182C352A"/>
    <w:rsid w:val="1B091A97"/>
    <w:rsid w:val="1D4E2CAF"/>
    <w:rsid w:val="1F6DA714"/>
    <w:rsid w:val="213A432F"/>
    <w:rsid w:val="223A11B5"/>
    <w:rsid w:val="22FA2700"/>
    <w:rsid w:val="24032E22"/>
    <w:rsid w:val="245F0FC8"/>
    <w:rsid w:val="259671F9"/>
    <w:rsid w:val="26846175"/>
    <w:rsid w:val="27201032"/>
    <w:rsid w:val="28BB4620"/>
    <w:rsid w:val="298E1762"/>
    <w:rsid w:val="2ACB2E92"/>
    <w:rsid w:val="2D22651C"/>
    <w:rsid w:val="2E9F27F8"/>
    <w:rsid w:val="2EA855EA"/>
    <w:rsid w:val="314144B0"/>
    <w:rsid w:val="31855F87"/>
    <w:rsid w:val="335C2374"/>
    <w:rsid w:val="345011CA"/>
    <w:rsid w:val="36363A93"/>
    <w:rsid w:val="364A2160"/>
    <w:rsid w:val="37F779CB"/>
    <w:rsid w:val="38E1010B"/>
    <w:rsid w:val="3B0A0C9D"/>
    <w:rsid w:val="3C91192E"/>
    <w:rsid w:val="4148218A"/>
    <w:rsid w:val="42836989"/>
    <w:rsid w:val="449479F1"/>
    <w:rsid w:val="44FF57F5"/>
    <w:rsid w:val="455C39C2"/>
    <w:rsid w:val="47356E70"/>
    <w:rsid w:val="47524326"/>
    <w:rsid w:val="4794153F"/>
    <w:rsid w:val="48A1399F"/>
    <w:rsid w:val="49B7019D"/>
    <w:rsid w:val="49D255C4"/>
    <w:rsid w:val="4A80421F"/>
    <w:rsid w:val="4D412B24"/>
    <w:rsid w:val="4D8352B9"/>
    <w:rsid w:val="50051124"/>
    <w:rsid w:val="51B24B0E"/>
    <w:rsid w:val="52AE775C"/>
    <w:rsid w:val="52E91829"/>
    <w:rsid w:val="531D5B22"/>
    <w:rsid w:val="538F119C"/>
    <w:rsid w:val="53AC58A5"/>
    <w:rsid w:val="558879FE"/>
    <w:rsid w:val="55C74D2F"/>
    <w:rsid w:val="572E32B3"/>
    <w:rsid w:val="59F37DAF"/>
    <w:rsid w:val="5C0A1E9A"/>
    <w:rsid w:val="5C593EAF"/>
    <w:rsid w:val="5C7E41A4"/>
    <w:rsid w:val="5C862A02"/>
    <w:rsid w:val="5D63417B"/>
    <w:rsid w:val="60C76A50"/>
    <w:rsid w:val="60FE76C2"/>
    <w:rsid w:val="634E1302"/>
    <w:rsid w:val="64DC4668"/>
    <w:rsid w:val="6A841BD5"/>
    <w:rsid w:val="6CFC2298"/>
    <w:rsid w:val="6FDE3B11"/>
    <w:rsid w:val="6FF84353"/>
    <w:rsid w:val="6FFB92A4"/>
    <w:rsid w:val="706D03F4"/>
    <w:rsid w:val="73120C63"/>
    <w:rsid w:val="736244DE"/>
    <w:rsid w:val="75790F84"/>
    <w:rsid w:val="75E73437"/>
    <w:rsid w:val="77B530EB"/>
    <w:rsid w:val="79F31DB7"/>
    <w:rsid w:val="7A6B664D"/>
    <w:rsid w:val="7A944128"/>
    <w:rsid w:val="7AAD5D10"/>
    <w:rsid w:val="7CA51739"/>
    <w:rsid w:val="7DDB7604"/>
    <w:rsid w:val="7FAD8DA4"/>
    <w:rsid w:val="7FF963E6"/>
    <w:rsid w:val="A5F77DBC"/>
    <w:rsid w:val="BE1FF691"/>
    <w:rsid w:val="BEFF34C7"/>
    <w:rsid w:val="FBB14938"/>
    <w:rsid w:val="FCFF3881"/>
    <w:rsid w:val="FEFF34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5</Pages>
  <Words>1682</Words>
  <Characters>2163</Characters>
  <Lines>18</Lines>
  <Paragraphs>5</Paragraphs>
  <TotalTime>1</TotalTime>
  <ScaleCrop>false</ScaleCrop>
  <LinksUpToDate>false</LinksUpToDate>
  <CharactersWithSpaces>2334</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2023-04-14T16:25:00Z</dcterms:created>
  <dc:creator>全美国际教育协会</dc:creator>
  <cp:lastModifiedBy>JXY</cp:lastModifiedBy>
  <cp:lastPrinted>2011-12-20T16:54:00Z</cp:lastPrinted>
  <dcterms:modified xsi:type="dcterms:W3CDTF">2024-10-10T10:23:37Z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FC680644CB1C47A584ACE177B18CF592_13</vt:lpwstr>
  </property>
</Properties>
</file>